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2" w:lineRule="exact" w:before="72"/>
        <w:ind w:left="1862" w:right="1875" w:firstLine="0"/>
        <w:jc w:val="center"/>
        <w:rPr>
          <w:u w:val="none"/>
        </w:rPr>
      </w:pPr>
      <w:r>
        <w:rPr>
          <w:u w:val="thick"/>
        </w:rPr>
        <w:t>LOUISIANA  STADIUM AND EXPOSITION DISTRICT</w:t>
      </w:r>
    </w:p>
    <w:p>
      <w:pPr>
        <w:pStyle w:val="BodyText"/>
        <w:spacing w:line="242" w:lineRule="auto"/>
        <w:ind w:left="2323" w:right="2325" w:hanging="12"/>
        <w:jc w:val="center"/>
      </w:pPr>
      <w:r>
        <w:rPr/>
        <w:t>BOARD OF COMMISSIONERS  MINUTES FROM THE MEETING OF NOVEMBER  14,</w:t>
      </w:r>
      <w:r>
        <w:rPr>
          <w:spacing w:val="21"/>
        </w:rPr>
        <w:t> </w:t>
      </w:r>
      <w:r>
        <w:rPr/>
        <w:t>2019</w:t>
      </w:r>
    </w:p>
    <w:p>
      <w:pPr>
        <w:pStyle w:val="BodyText"/>
        <w:rPr>
          <w:sz w:val="26"/>
        </w:rPr>
      </w:pPr>
    </w:p>
    <w:p>
      <w:pPr>
        <w:pStyle w:val="BodyText"/>
        <w:spacing w:before="9"/>
        <w:rPr>
          <w:sz w:val="21"/>
        </w:rPr>
      </w:pPr>
    </w:p>
    <w:p>
      <w:pPr>
        <w:pStyle w:val="BodyText"/>
        <w:tabs>
          <w:tab w:pos="1599" w:val="left" w:leader="none"/>
        </w:tabs>
        <w:spacing w:before="1"/>
        <w:ind w:left="156"/>
        <w:rPr>
          <w:sz w:val="23"/>
        </w:rPr>
      </w:pPr>
      <w:r>
        <w:rPr>
          <w:b/>
          <w:u w:val="thick"/>
        </w:rPr>
        <w:t>PRESENT:</w:t>
      </w:r>
      <w:r>
        <w:rPr>
          <w:b/>
        </w:rPr>
        <w:tab/>
      </w:r>
      <w:r>
        <w:rPr/>
        <w:t>Commissioners  Kyle M. France, Hemy N. Baptiste,  Hilary H. Landry,  Renee  </w:t>
      </w:r>
      <w:r>
        <w:rPr>
          <w:spacing w:val="18"/>
        </w:rPr>
        <w:t> </w:t>
      </w:r>
      <w:r>
        <w:rPr>
          <w:sz w:val="23"/>
        </w:rPr>
        <w:t>A.</w:t>
      </w:r>
    </w:p>
    <w:p>
      <w:pPr>
        <w:pStyle w:val="BodyText"/>
        <w:spacing w:before="2"/>
        <w:ind w:left="1594"/>
      </w:pPr>
      <w:r>
        <w:rPr/>
        <w:t>Lapeyrolerie,  Gregory </w:t>
      </w:r>
      <w:r>
        <w:rPr>
          <w:sz w:val="23"/>
        </w:rPr>
        <w:t>A. </w:t>
      </w:r>
      <w:r>
        <w:rPr/>
        <w:t>Morrison, and Wells T. Watson</w:t>
      </w:r>
    </w:p>
    <w:p>
      <w:pPr>
        <w:pStyle w:val="BodyText"/>
        <w:spacing w:before="3"/>
      </w:pPr>
    </w:p>
    <w:p>
      <w:pPr>
        <w:tabs>
          <w:tab w:pos="1599" w:val="left" w:leader="none"/>
        </w:tabs>
        <w:spacing w:before="1"/>
        <w:ind w:left="107" w:right="0" w:firstLine="0"/>
        <w:jc w:val="left"/>
        <w:rPr>
          <w:sz w:val="24"/>
        </w:rPr>
      </w:pPr>
      <w:r>
        <w:rPr>
          <w:b/>
          <w:sz w:val="24"/>
          <w:u w:val="thick"/>
        </w:rPr>
        <w:t>ABSENT:</w:t>
      </w:r>
      <w:r>
        <w:rPr>
          <w:b/>
          <w:sz w:val="24"/>
        </w:rPr>
        <w:tab/>
      </w:r>
      <w:r>
        <w:rPr>
          <w:sz w:val="24"/>
        </w:rPr>
        <w:t>Commissioner  Casey </w:t>
      </w:r>
      <w:r>
        <w:rPr>
          <w:sz w:val="23"/>
        </w:rPr>
        <w:t>J.</w:t>
      </w:r>
      <w:r>
        <w:rPr>
          <w:spacing w:val="-21"/>
          <w:sz w:val="23"/>
        </w:rPr>
        <w:t> </w:t>
      </w:r>
      <w:r>
        <w:rPr>
          <w:sz w:val="24"/>
        </w:rPr>
        <w:t>Robin</w:t>
      </w:r>
    </w:p>
    <w:p>
      <w:pPr>
        <w:pStyle w:val="BodyText"/>
        <w:spacing w:before="10"/>
        <w:rPr>
          <w:sz w:val="23"/>
        </w:rPr>
      </w:pPr>
    </w:p>
    <w:p>
      <w:pPr>
        <w:pStyle w:val="Heading1"/>
        <w:numPr>
          <w:ilvl w:val="0"/>
          <w:numId w:val="1"/>
        </w:numPr>
        <w:tabs>
          <w:tab w:pos="857" w:val="left" w:leader="none"/>
          <w:tab w:pos="858" w:val="left" w:leader="none"/>
        </w:tabs>
        <w:spacing w:line="240" w:lineRule="auto" w:before="1" w:after="0"/>
        <w:ind w:left="857" w:right="0" w:hanging="752"/>
        <w:jc w:val="left"/>
        <w:rPr>
          <w:u w:val="none"/>
        </w:rPr>
      </w:pPr>
      <w:r>
        <w:rPr>
          <w:u w:val="thick"/>
        </w:rPr>
        <w:t>ROLL CALL and</w:t>
      </w:r>
      <w:r>
        <w:rPr>
          <w:spacing w:val="44"/>
          <w:u w:val="thick"/>
        </w:rPr>
        <w:t> </w:t>
      </w:r>
      <w:r>
        <w:rPr>
          <w:u w:val="thick"/>
        </w:rPr>
        <w:t>WELCOME</w:t>
      </w:r>
    </w:p>
    <w:p>
      <w:pPr>
        <w:pStyle w:val="BodyText"/>
        <w:spacing w:before="6"/>
        <w:rPr>
          <w:b/>
          <w:sz w:val="23"/>
        </w:rPr>
      </w:pPr>
    </w:p>
    <w:p>
      <w:pPr>
        <w:pStyle w:val="BodyText"/>
        <w:ind w:left="113" w:right="116" w:firstLine="744"/>
        <w:jc w:val="both"/>
      </w:pPr>
      <w:r>
        <w:rPr/>
        <w:t>Chairman Kyle France welcomed everyone to the November 14, 2019 meeting, calling it  to order at approximately </w:t>
      </w:r>
      <w:r>
        <w:rPr>
          <w:spacing w:val="2"/>
        </w:rPr>
        <w:t>1:07 </w:t>
      </w:r>
      <w:r>
        <w:rPr/>
        <w:t>p.m. Recognizing November </w:t>
      </w:r>
      <w:r>
        <w:rPr>
          <w:rFonts w:ascii="Arial"/>
          <w:b/>
          <w:sz w:val="23"/>
        </w:rPr>
        <w:t>11, </w:t>
      </w:r>
      <w:r>
        <w:rPr/>
        <w:t>2019 as our country's Veterans Day observance, Chairman France asked all present to remember our Veterans and the incredible work they do to keep us safe. Commissioner Baptiste then led everyone in attendance  in the Pledge of Allegiance.  A moment of silence is also taken for the California school  </w:t>
      </w:r>
      <w:r>
        <w:rPr>
          <w:spacing w:val="7"/>
        </w:rPr>
        <w:t> </w:t>
      </w:r>
      <w:r>
        <w:rPr/>
        <w:t>shooting.</w:t>
      </w:r>
    </w:p>
    <w:p>
      <w:pPr>
        <w:pStyle w:val="BodyText"/>
        <w:spacing w:before="10"/>
        <w:rPr>
          <w:sz w:val="23"/>
        </w:rPr>
      </w:pPr>
    </w:p>
    <w:p>
      <w:pPr>
        <w:pStyle w:val="BodyText"/>
        <w:ind w:left="115" w:right="130" w:firstLine="747"/>
        <w:jc w:val="both"/>
      </w:pPr>
      <w:r>
        <w:rPr/>
        <w:t>Present were: Commissioners Kyle M. France, Hemy N. Baptiste, Hilary H. Landry,  Renee A. Lapeyrolerie, Gregory </w:t>
      </w:r>
      <w:r>
        <w:rPr>
          <w:sz w:val="23"/>
        </w:rPr>
        <w:t>A. </w:t>
      </w:r>
      <w:r>
        <w:rPr/>
        <w:t>Morrison, and Wells T. Watson.  Absent:  Commissioner Casey J. Robin.  There was a full </w:t>
      </w:r>
      <w:r>
        <w:rPr>
          <w:spacing w:val="3"/>
        </w:rPr>
        <w:t> </w:t>
      </w:r>
      <w:r>
        <w:rPr/>
        <w:t>quorum.</w:t>
      </w:r>
    </w:p>
    <w:p>
      <w:pPr>
        <w:pStyle w:val="BodyText"/>
        <w:spacing w:before="3"/>
      </w:pPr>
    </w:p>
    <w:p>
      <w:pPr>
        <w:pStyle w:val="Heading1"/>
        <w:numPr>
          <w:ilvl w:val="0"/>
          <w:numId w:val="1"/>
        </w:numPr>
        <w:tabs>
          <w:tab w:pos="864" w:val="left" w:leader="none"/>
          <w:tab w:pos="865" w:val="left" w:leader="none"/>
        </w:tabs>
        <w:spacing w:line="240" w:lineRule="auto" w:before="0" w:after="0"/>
        <w:ind w:left="864" w:right="0" w:hanging="745"/>
        <w:jc w:val="left"/>
        <w:rPr>
          <w:u w:val="none"/>
        </w:rPr>
      </w:pPr>
      <w:r>
        <w:rPr>
          <w:u w:val="thick"/>
        </w:rPr>
        <w:t>APPROVAL  OF MINUTES OF SEPTEMBER 26, 2019</w:t>
      </w:r>
      <w:r>
        <w:rPr>
          <w:spacing w:val="45"/>
          <w:u w:val="thick"/>
        </w:rPr>
        <w:t> </w:t>
      </w:r>
      <w:r>
        <w:rPr>
          <w:u w:val="thick"/>
        </w:rPr>
        <w:t>MEETING</w:t>
      </w:r>
    </w:p>
    <w:p>
      <w:pPr>
        <w:pStyle w:val="BodyText"/>
        <w:spacing w:before="5"/>
        <w:rPr>
          <w:b/>
          <w:sz w:val="23"/>
        </w:rPr>
      </w:pPr>
    </w:p>
    <w:p>
      <w:pPr>
        <w:pStyle w:val="BodyText"/>
        <w:ind w:left="115" w:right="110" w:firstLine="751"/>
        <w:jc w:val="both"/>
      </w:pPr>
      <w:r>
        <w:rPr/>
        <w:t>Chairman France asked for a motion for approval of the LSED I Minutes of  the  September 26, 2019 Board Meeting. Commissioner Lapeyrolerie moved for approval of same, seconded by Commissioner Morrison. All were in favor, and the Minutes of the September 26, 2019 Board meeting were adopted. The LSED H's Minutes of its September 26, 2019 Board meeting were also approved, moved by Commissioner Morrison and seconded by Commissioner Baptiste.</w:t>
      </w:r>
    </w:p>
    <w:p>
      <w:pPr>
        <w:pStyle w:val="BodyText"/>
        <w:spacing w:before="3"/>
      </w:pPr>
    </w:p>
    <w:p>
      <w:pPr>
        <w:pStyle w:val="Heading1"/>
        <w:numPr>
          <w:ilvl w:val="0"/>
          <w:numId w:val="1"/>
        </w:numPr>
        <w:tabs>
          <w:tab w:pos="873" w:val="left" w:leader="none"/>
          <w:tab w:pos="874" w:val="left" w:leader="none"/>
        </w:tabs>
        <w:spacing w:line="240" w:lineRule="auto" w:before="0" w:after="0"/>
        <w:ind w:left="873" w:right="0" w:hanging="749"/>
        <w:jc w:val="left"/>
        <w:rPr>
          <w:u w:val="none"/>
        </w:rPr>
      </w:pPr>
      <w:r>
        <w:rPr>
          <w:u w:val="thick"/>
        </w:rPr>
        <w:t>SMG</w:t>
      </w:r>
      <w:r>
        <w:rPr>
          <w:spacing w:val="14"/>
          <w:u w:val="thick"/>
        </w:rPr>
        <w:t> </w:t>
      </w:r>
      <w:r>
        <w:rPr>
          <w:u w:val="thick"/>
        </w:rPr>
        <w:t>REPORT</w:t>
      </w:r>
    </w:p>
    <w:p>
      <w:pPr>
        <w:pStyle w:val="BodyText"/>
        <w:spacing w:before="5"/>
        <w:rPr>
          <w:b/>
          <w:sz w:val="23"/>
        </w:rPr>
      </w:pPr>
    </w:p>
    <w:p>
      <w:pPr>
        <w:pStyle w:val="BodyText"/>
        <w:ind w:left="121" w:right="98" w:firstLine="749"/>
        <w:jc w:val="both"/>
      </w:pPr>
      <w:r>
        <w:rPr/>
        <w:t>Evan Holmes presents a combined General and Services Report, noting that approval for the initial construction contract for the Superdome renovation will be sought at today's meeting, calling the Board's attention to the initial contract for a Guaranteed Maximum Price of approximately $53M, referring to this as Phase I-A of this $450M project, consisting of ramp removal, replacement of vertical transportation with the stairwells, as  well  as  other  back-of­ house type improvements/renovation work to set the stage for future phases. Phase I-B (the Commissary) approval for $8.0M will be sought later, depending on the timeline.  The $52.7M  will be supplemented by an additional amount for the Commissary that would bring the  Guaranteed Maximum Price to approximately $80M for this first phase, which will set the stage  for fan-facing amenities  to be developed  over the next several  years.  What's  been distributed,  the media kit, which includes renderings and visuals, are items that will be seen by fans and visitors in future</w:t>
      </w:r>
      <w:r>
        <w:rPr>
          <w:spacing w:val="47"/>
        </w:rPr>
        <w:t> </w:t>
      </w:r>
      <w:r>
        <w:rPr/>
        <w:t>years.</w:t>
      </w:r>
    </w:p>
    <w:p>
      <w:pPr>
        <w:spacing w:after="0"/>
        <w:jc w:val="both"/>
        <w:sectPr>
          <w:footerReference w:type="default" r:id="rId5"/>
          <w:type w:val="continuous"/>
          <w:pgSz w:w="12240" w:h="15840"/>
          <w:pgMar w:footer="823" w:top="1280" w:bottom="1020" w:left="1140" w:right="1340"/>
        </w:sectPr>
      </w:pPr>
    </w:p>
    <w:p>
      <w:pPr>
        <w:pStyle w:val="BodyText"/>
        <w:rPr>
          <w:sz w:val="20"/>
        </w:rPr>
      </w:pPr>
    </w:p>
    <w:p>
      <w:pPr>
        <w:pStyle w:val="BodyText"/>
        <w:spacing w:before="227"/>
        <w:ind w:left="114" w:right="154" w:firstLine="739"/>
        <w:jc w:val="both"/>
      </w:pPr>
      <w:r>
        <w:rPr/>
        <w:t>Also before the Board is a request to advance discussions with NOLA Gold Rugby Club  for use of the Shrine on Airline to allow for access to the facility, to set it up, and to lay sod over the baseball diamond for its events. At a subsequent meeting, approval will be sought to set in  place a facility use agreement, which would define the economics and other  </w:t>
      </w:r>
      <w:r>
        <w:rPr>
          <w:spacing w:val="17"/>
        </w:rPr>
        <w:t> </w:t>
      </w:r>
      <w:r>
        <w:rPr/>
        <w:t>entitlements.</w:t>
      </w:r>
    </w:p>
    <w:p>
      <w:pPr>
        <w:pStyle w:val="BodyText"/>
        <w:spacing w:before="4"/>
      </w:pPr>
    </w:p>
    <w:p>
      <w:pPr>
        <w:pStyle w:val="BodyText"/>
        <w:ind w:left="860"/>
      </w:pPr>
      <w:r>
        <w:rPr/>
        <w:t>[This ends the General Matters and Services  Report.]</w:t>
      </w:r>
    </w:p>
    <w:p>
      <w:pPr>
        <w:pStyle w:val="BodyText"/>
        <w:spacing w:before="6"/>
        <w:rPr>
          <w:sz w:val="23"/>
        </w:rPr>
      </w:pPr>
    </w:p>
    <w:p>
      <w:pPr>
        <w:pStyle w:val="BodyText"/>
        <w:ind w:left="122" w:right="158" w:firstLine="736"/>
        <w:jc w:val="both"/>
      </w:pPr>
      <w:r>
        <w:rPr/>
        <w:t>Alan Freeman begins his Facility Operations Report with a review  of  past  event  activities, highlighting attendance at the past Saints games and events held at the Dome, food and beverage caps at the Dome, events at the Smoothie King Center, which included Pelican games and concert attendance, events at Champions Square, bar charts reflecting ticketed events/attendance for all three facilities, upcoming events for  the  next  30 days, some  of which are new, and events that have been confirmed for </w:t>
      </w:r>
      <w:r>
        <w:rPr>
          <w:spacing w:val="37"/>
        </w:rPr>
        <w:t> </w:t>
      </w:r>
      <w:r>
        <w:rPr/>
        <w:t>2020.</w:t>
      </w:r>
    </w:p>
    <w:p>
      <w:pPr>
        <w:pStyle w:val="BodyText"/>
        <w:spacing w:before="6"/>
        <w:rPr>
          <w:sz w:val="23"/>
        </w:rPr>
      </w:pPr>
    </w:p>
    <w:p>
      <w:pPr>
        <w:pStyle w:val="BodyText"/>
        <w:ind w:left="127" w:right="154" w:firstLine="734"/>
        <w:jc w:val="both"/>
      </w:pPr>
      <w:r>
        <w:rPr>
          <w:w w:val="105"/>
        </w:rPr>
        <w:t>Following concerns by the NCAA as to the Master Plan's impact on the Men's Final Four in 2022, Mr. Freeman, Doug Thornton, Jay Cicero with the New Orleans Sports Foundation, and Troy Dannen, the Athletic Director at Tulane, met with the NCAA Men's Basketball Committee to alleviate any concern. Meetings are also taking place with the</w:t>
      </w:r>
      <w:r>
        <w:rPr>
          <w:spacing w:val="-44"/>
          <w:w w:val="105"/>
        </w:rPr>
        <w:t> </w:t>
      </w:r>
      <w:r>
        <w:rPr>
          <w:w w:val="105"/>
        </w:rPr>
        <w:t>NCAA Men's</w:t>
      </w:r>
      <w:r>
        <w:rPr>
          <w:spacing w:val="-13"/>
          <w:w w:val="105"/>
        </w:rPr>
        <w:t> </w:t>
      </w:r>
      <w:r>
        <w:rPr>
          <w:w w:val="105"/>
        </w:rPr>
        <w:t>Basketball/Women's</w:t>
      </w:r>
      <w:r>
        <w:rPr>
          <w:spacing w:val="-24"/>
          <w:w w:val="105"/>
        </w:rPr>
        <w:t> </w:t>
      </w:r>
      <w:r>
        <w:rPr>
          <w:w w:val="105"/>
        </w:rPr>
        <w:t>Final</w:t>
      </w:r>
      <w:r>
        <w:rPr>
          <w:spacing w:val="-12"/>
          <w:w w:val="105"/>
        </w:rPr>
        <w:t> </w:t>
      </w:r>
      <w:r>
        <w:rPr>
          <w:w w:val="105"/>
        </w:rPr>
        <w:t>Four</w:t>
      </w:r>
      <w:r>
        <w:rPr>
          <w:spacing w:val="-9"/>
          <w:w w:val="105"/>
        </w:rPr>
        <w:t> </w:t>
      </w:r>
      <w:r>
        <w:rPr>
          <w:w w:val="105"/>
        </w:rPr>
        <w:t>staff.</w:t>
      </w:r>
    </w:p>
    <w:p>
      <w:pPr>
        <w:pStyle w:val="BodyText"/>
        <w:spacing w:before="11"/>
        <w:rPr>
          <w:sz w:val="23"/>
        </w:rPr>
      </w:pPr>
    </w:p>
    <w:p>
      <w:pPr>
        <w:pStyle w:val="BodyText"/>
        <w:ind w:left="131" w:right="146" w:firstLine="734"/>
        <w:jc w:val="both"/>
      </w:pPr>
      <w:r>
        <w:rPr/>
        <w:t>Mr. Freeman informs the Board that his department  is  addressing  the fan's  low rating with respect to technology by installing additional access points inside and  outside  of  the  building to accommodate mobile ticketing. The neutral-host DAS system is being upgraded by AT&amp;T, and a limited 5G installation with Verizon has </w:t>
      </w:r>
      <w:r>
        <w:rPr>
          <w:spacing w:val="32"/>
        </w:rPr>
        <w:t> </w:t>
      </w:r>
      <w:r>
        <w:rPr/>
        <w:t>begun.</w:t>
      </w:r>
    </w:p>
    <w:p>
      <w:pPr>
        <w:pStyle w:val="BodyText"/>
        <w:spacing w:before="11"/>
        <w:rPr>
          <w:sz w:val="23"/>
        </w:rPr>
      </w:pPr>
    </w:p>
    <w:p>
      <w:pPr>
        <w:pStyle w:val="BodyText"/>
        <w:ind w:left="869"/>
      </w:pPr>
      <w:r>
        <w:rPr/>
        <w:t>[This concludes the Facility Operations  Report.]</w:t>
      </w:r>
    </w:p>
    <w:p>
      <w:pPr>
        <w:pStyle w:val="BodyText"/>
        <w:spacing w:before="11"/>
        <w:rPr>
          <w:sz w:val="23"/>
        </w:rPr>
      </w:pPr>
    </w:p>
    <w:p>
      <w:pPr>
        <w:pStyle w:val="BodyText"/>
        <w:ind w:left="136" w:right="146" w:firstLine="738"/>
        <w:jc w:val="both"/>
      </w:pPr>
      <w:r>
        <w:rPr>
          <w:w w:val="105"/>
        </w:rPr>
        <w:t>Jennifer Cooke (Director of Sales &amp; Marketing) highlights marketing and promotions, consisting of an ad in </w:t>
      </w:r>
      <w:r>
        <w:rPr>
          <w:w w:val="105"/>
          <w:u w:val="single"/>
        </w:rPr>
        <w:t>Gambit </w:t>
      </w:r>
      <w:r>
        <w:rPr>
          <w:w w:val="105"/>
        </w:rPr>
        <w:t>for</w:t>
      </w:r>
      <w:r>
        <w:rPr>
          <w:spacing w:val="-46"/>
          <w:w w:val="105"/>
        </w:rPr>
        <w:t> </w:t>
      </w:r>
      <w:r>
        <w:rPr>
          <w:w w:val="105"/>
        </w:rPr>
        <w:t>the Smoothie King Center's 20-year celebration, along with a promotional campaign with Smoothie King, a campaign for Trans-Siberian Orchestra, and a Halloween</w:t>
      </w:r>
      <w:r>
        <w:rPr>
          <w:spacing w:val="-21"/>
          <w:w w:val="105"/>
        </w:rPr>
        <w:t> </w:t>
      </w:r>
      <w:r>
        <w:rPr>
          <w:w w:val="105"/>
        </w:rPr>
        <w:t>costume</w:t>
      </w:r>
      <w:r>
        <w:rPr>
          <w:spacing w:val="-23"/>
          <w:w w:val="105"/>
        </w:rPr>
        <w:t> </w:t>
      </w:r>
      <w:r>
        <w:rPr>
          <w:w w:val="105"/>
        </w:rPr>
        <w:t>contest</w:t>
      </w:r>
      <w:r>
        <w:rPr>
          <w:spacing w:val="-26"/>
          <w:w w:val="105"/>
        </w:rPr>
        <w:t> </w:t>
      </w:r>
      <w:r>
        <w:rPr>
          <w:w w:val="105"/>
        </w:rPr>
        <w:t>where</w:t>
      </w:r>
      <w:r>
        <w:rPr>
          <w:spacing w:val="-27"/>
          <w:w w:val="105"/>
        </w:rPr>
        <w:t> </w:t>
      </w:r>
      <w:r>
        <w:rPr>
          <w:w w:val="105"/>
        </w:rPr>
        <w:t>the</w:t>
      </w:r>
      <w:r>
        <w:rPr>
          <w:spacing w:val="-30"/>
          <w:w w:val="105"/>
        </w:rPr>
        <w:t> </w:t>
      </w:r>
      <w:r>
        <w:rPr>
          <w:w w:val="105"/>
        </w:rPr>
        <w:t>winner</w:t>
      </w:r>
      <w:r>
        <w:rPr>
          <w:spacing w:val="-19"/>
          <w:w w:val="105"/>
        </w:rPr>
        <w:t> </w:t>
      </w:r>
      <w:r>
        <w:rPr>
          <w:w w:val="105"/>
        </w:rPr>
        <w:t>received</w:t>
      </w:r>
      <w:r>
        <w:rPr>
          <w:spacing w:val="-21"/>
          <w:w w:val="105"/>
        </w:rPr>
        <w:t> </w:t>
      </w:r>
      <w:r>
        <w:rPr>
          <w:w w:val="105"/>
        </w:rPr>
        <w:t>tickets</w:t>
      </w:r>
      <w:r>
        <w:rPr>
          <w:spacing w:val="-29"/>
          <w:w w:val="105"/>
        </w:rPr>
        <w:t> </w:t>
      </w:r>
      <w:r>
        <w:rPr>
          <w:w w:val="105"/>
        </w:rPr>
        <w:t>to</w:t>
      </w:r>
      <w:r>
        <w:rPr>
          <w:spacing w:val="-31"/>
          <w:w w:val="105"/>
        </w:rPr>
        <w:t> </w:t>
      </w:r>
      <w:r>
        <w:rPr>
          <w:w w:val="105"/>
        </w:rPr>
        <w:t>Boudin,</w:t>
      </w:r>
      <w:r>
        <w:rPr>
          <w:spacing w:val="-23"/>
          <w:w w:val="105"/>
        </w:rPr>
        <w:t> </w:t>
      </w:r>
      <w:r>
        <w:rPr>
          <w:w w:val="105"/>
        </w:rPr>
        <w:t>Bourbon</w:t>
      </w:r>
      <w:r>
        <w:rPr>
          <w:spacing w:val="-21"/>
          <w:w w:val="105"/>
        </w:rPr>
        <w:t> </w:t>
      </w:r>
      <w:r>
        <w:rPr>
          <w:w w:val="105"/>
        </w:rPr>
        <w:t>and</w:t>
      </w:r>
      <w:r>
        <w:rPr>
          <w:spacing w:val="-24"/>
          <w:w w:val="105"/>
        </w:rPr>
        <w:t> </w:t>
      </w:r>
      <w:r>
        <w:rPr>
          <w:w w:val="105"/>
        </w:rPr>
        <w:t>Beer.</w:t>
      </w:r>
    </w:p>
    <w:p>
      <w:pPr>
        <w:pStyle w:val="BodyText"/>
        <w:spacing w:before="4"/>
      </w:pPr>
    </w:p>
    <w:p>
      <w:pPr>
        <w:pStyle w:val="BodyText"/>
        <w:ind w:left="874"/>
      </w:pPr>
      <w:r>
        <w:rPr/>
        <w:t>[This concludes the Sales &amp; Marketing  Report.]</w:t>
      </w:r>
    </w:p>
    <w:p>
      <w:pPr>
        <w:pStyle w:val="BodyText"/>
        <w:spacing w:before="4"/>
      </w:pPr>
    </w:p>
    <w:p>
      <w:pPr>
        <w:pStyle w:val="Heading1"/>
        <w:numPr>
          <w:ilvl w:val="0"/>
          <w:numId w:val="1"/>
        </w:numPr>
        <w:tabs>
          <w:tab w:pos="875" w:val="left" w:leader="none"/>
        </w:tabs>
        <w:spacing w:line="240" w:lineRule="auto" w:before="0" w:after="0"/>
        <w:ind w:left="874" w:right="0" w:hanging="738"/>
        <w:jc w:val="both"/>
        <w:rPr>
          <w:u w:val="none"/>
        </w:rPr>
      </w:pPr>
      <w:r>
        <w:rPr>
          <w:u w:val="thick"/>
        </w:rPr>
        <w:t>FINANCE</w:t>
      </w:r>
      <w:r>
        <w:rPr>
          <w:spacing w:val="47"/>
          <w:u w:val="thick"/>
        </w:rPr>
        <w:t> </w:t>
      </w:r>
      <w:r>
        <w:rPr>
          <w:u w:val="thick"/>
        </w:rPr>
        <w:t>REPORT</w:t>
      </w:r>
    </w:p>
    <w:p>
      <w:pPr>
        <w:pStyle w:val="BodyText"/>
        <w:spacing w:before="6"/>
        <w:rPr>
          <w:b/>
          <w:sz w:val="23"/>
        </w:rPr>
      </w:pPr>
    </w:p>
    <w:p>
      <w:pPr>
        <w:pStyle w:val="BodyText"/>
        <w:ind w:left="875"/>
      </w:pPr>
      <w:r>
        <w:rPr/>
        <w:t>David  Weidler  presents  the  Finance  Report,  noting  a  growth  in  the  hotel/motel  tax -</w:t>
      </w:r>
    </w:p>
    <w:p>
      <w:pPr>
        <w:pStyle w:val="BodyText"/>
        <w:spacing w:line="235" w:lineRule="auto" w:before="6"/>
        <w:ind w:left="141" w:right="116"/>
        <w:jc w:val="both"/>
      </w:pPr>
      <w:r>
        <w:rPr/>
        <w:t>$600,000 better than last year. LSED expenses are on target with the budget. The Dome is outperforming by $ l .2M, which may include the Rolling Stones concert. Saints-related event expenses are better than</w:t>
      </w:r>
      <w:r>
        <w:rPr>
          <w:spacing w:val="59"/>
        </w:rPr>
        <w:t> </w:t>
      </w:r>
      <w:r>
        <w:rPr/>
        <w:t>budget.</w:t>
      </w:r>
    </w:p>
    <w:p>
      <w:pPr>
        <w:pStyle w:val="BodyText"/>
        <w:spacing w:before="5"/>
      </w:pPr>
    </w:p>
    <w:p>
      <w:pPr>
        <w:pStyle w:val="BodyText"/>
        <w:ind w:left="884"/>
      </w:pPr>
      <w:r>
        <w:rPr/>
        <w:t>[This ends the Finance Report.]</w:t>
      </w:r>
    </w:p>
    <w:p>
      <w:pPr>
        <w:spacing w:after="0"/>
        <w:sectPr>
          <w:headerReference w:type="default" r:id="rId6"/>
          <w:pgSz w:w="12240" w:h="15840"/>
          <w:pgMar w:header="647" w:footer="823" w:top="1320" w:bottom="1020" w:left="1160" w:right="1260"/>
          <w:pgNumType w:start="2"/>
        </w:sectPr>
      </w:pPr>
    </w:p>
    <w:p>
      <w:pPr>
        <w:pStyle w:val="BodyText"/>
        <w:rPr>
          <w:sz w:val="20"/>
        </w:rPr>
      </w:pPr>
    </w:p>
    <w:p>
      <w:pPr>
        <w:pStyle w:val="Heading1"/>
        <w:numPr>
          <w:ilvl w:val="0"/>
          <w:numId w:val="1"/>
        </w:numPr>
        <w:tabs>
          <w:tab w:pos="847" w:val="left" w:leader="none"/>
        </w:tabs>
        <w:spacing w:line="240" w:lineRule="auto" w:before="227" w:after="0"/>
        <w:ind w:left="846" w:right="0" w:hanging="741"/>
        <w:jc w:val="both"/>
        <w:rPr>
          <w:u w:val="none"/>
        </w:rPr>
      </w:pPr>
      <w:r>
        <w:rPr>
          <w:u w:val="thick"/>
        </w:rPr>
        <w:t>CONSTRUCTION</w:t>
      </w:r>
      <w:r>
        <w:rPr>
          <w:spacing w:val="53"/>
          <w:u w:val="thick"/>
        </w:rPr>
        <w:t> </w:t>
      </w:r>
      <w:r>
        <w:rPr>
          <w:u w:val="thick"/>
        </w:rPr>
        <w:t>REPORT</w:t>
      </w:r>
    </w:p>
    <w:p>
      <w:pPr>
        <w:pStyle w:val="BodyText"/>
        <w:spacing w:before="1"/>
        <w:rPr>
          <w:b/>
          <w:sz w:val="23"/>
        </w:rPr>
      </w:pPr>
    </w:p>
    <w:p>
      <w:pPr>
        <w:pStyle w:val="BodyText"/>
        <w:spacing w:line="242" w:lineRule="auto"/>
        <w:ind w:left="105" w:right="140" w:firstLine="737"/>
        <w:jc w:val="both"/>
      </w:pPr>
      <w:r>
        <w:rPr/>
        <w:t>Pat Tobler of The Tobler Company presents the Construction Report beginning with the Alario Center roof replacement and restroom/panic door upgrade projects that are substantially complete and accepted, with minor punch-list items for close-outs. Before the Board will be selection of a contractor for the waterproofing  project.</w:t>
      </w:r>
    </w:p>
    <w:p>
      <w:pPr>
        <w:pStyle w:val="BodyText"/>
        <w:spacing w:before="3"/>
        <w:rPr>
          <w:sz w:val="23"/>
        </w:rPr>
      </w:pPr>
    </w:p>
    <w:p>
      <w:pPr>
        <w:pStyle w:val="BodyText"/>
        <w:ind w:left="112" w:right="132" w:firstLine="736"/>
        <w:jc w:val="both"/>
      </w:pPr>
      <w:r>
        <w:rPr/>
        <w:t>There are three projects at the TPC, which include the clubhouse and Fore!Kids  Foundation building, roof, and gutter replacements. Planning is underway for installation of evacuation pads throughout the course for the golf tournament to accommodate buses  and  anything else that may be required for evacuation due to inclement weather. There is also an electrical  distribution program that's being </w:t>
      </w:r>
      <w:r>
        <w:rPr>
          <w:spacing w:val="5"/>
        </w:rPr>
        <w:t> </w:t>
      </w:r>
      <w:r>
        <w:rPr/>
        <w:t>studied.</w:t>
      </w:r>
    </w:p>
    <w:p>
      <w:pPr>
        <w:pStyle w:val="BodyText"/>
        <w:spacing w:before="10"/>
        <w:rPr>
          <w:sz w:val="23"/>
        </w:rPr>
      </w:pPr>
    </w:p>
    <w:p>
      <w:pPr>
        <w:pStyle w:val="BodyText"/>
        <w:spacing w:line="242" w:lineRule="auto" w:before="1"/>
        <w:ind w:left="117" w:right="130" w:firstLine="738"/>
        <w:jc w:val="both"/>
      </w:pPr>
      <w:r>
        <w:rPr/>
        <w:t>Lastly, there is a GMP Revision 5 by Broadmoor with respect  to the  Dome  Phase  I Capital Improvements  project before the Board today.</w:t>
      </w:r>
    </w:p>
    <w:p>
      <w:pPr>
        <w:pStyle w:val="BodyText"/>
        <w:spacing w:before="9"/>
        <w:rPr>
          <w:sz w:val="23"/>
        </w:rPr>
      </w:pPr>
    </w:p>
    <w:p>
      <w:pPr>
        <w:pStyle w:val="BodyText"/>
        <w:ind w:left="860"/>
      </w:pPr>
      <w:r>
        <w:rPr/>
        <w:t>[This concludes the Construction  Report.]</w:t>
      </w:r>
    </w:p>
    <w:p>
      <w:pPr>
        <w:pStyle w:val="BodyText"/>
        <w:spacing w:before="9"/>
      </w:pPr>
    </w:p>
    <w:p>
      <w:pPr>
        <w:pStyle w:val="Heading1"/>
        <w:numPr>
          <w:ilvl w:val="0"/>
          <w:numId w:val="1"/>
        </w:numPr>
        <w:tabs>
          <w:tab w:pos="856" w:val="left" w:leader="none"/>
        </w:tabs>
        <w:spacing w:line="240" w:lineRule="auto" w:before="0" w:after="0"/>
        <w:ind w:left="856" w:right="0" w:hanging="737"/>
        <w:jc w:val="both"/>
        <w:rPr>
          <w:u w:val="none"/>
        </w:rPr>
      </w:pPr>
      <w:r>
        <w:rPr>
          <w:u w:val="thick"/>
        </w:rPr>
        <w:t>LEGAL</w:t>
      </w:r>
      <w:r>
        <w:rPr>
          <w:spacing w:val="36"/>
          <w:u w:val="thick"/>
        </w:rPr>
        <w:t> </w:t>
      </w:r>
      <w:r>
        <w:rPr>
          <w:u w:val="thick"/>
        </w:rPr>
        <w:t>REPORT</w:t>
      </w:r>
    </w:p>
    <w:p>
      <w:pPr>
        <w:pStyle w:val="BodyText"/>
        <w:spacing w:before="1"/>
        <w:rPr>
          <w:b/>
          <w:sz w:val="23"/>
        </w:rPr>
      </w:pPr>
    </w:p>
    <w:p>
      <w:pPr>
        <w:pStyle w:val="BodyText"/>
        <w:spacing w:line="274" w:lineRule="exact"/>
        <w:ind w:left="117" w:right="141" w:firstLine="743"/>
        <w:jc w:val="both"/>
      </w:pPr>
      <w:r>
        <w:rPr/>
        <w:t>Shawn M. Bridgewater introduced the LSED Legal Report and presented the following  five (5) Resolutions,  which were approved by the Board of Commissioners  as noted</w:t>
      </w:r>
      <w:r>
        <w:rPr>
          <w:spacing w:val="41"/>
        </w:rPr>
        <w:t> </w:t>
      </w:r>
      <w:r>
        <w:rPr/>
        <w:t>below:</w:t>
      </w:r>
    </w:p>
    <w:p>
      <w:pPr>
        <w:pStyle w:val="BodyText"/>
        <w:spacing w:before="1"/>
      </w:pPr>
    </w:p>
    <w:p>
      <w:pPr>
        <w:pStyle w:val="BodyText"/>
        <w:ind w:left="122" w:right="118" w:firstLine="739"/>
        <w:jc w:val="both"/>
      </w:pPr>
      <w:r>
        <w:rPr/>
        <w:t>On motion of Commissioner Morrison, seconded by Commissioner Landry, the LSED authorized and approved an appropriation from the LSED Capital Reserve  Account  in  the  amount of $399,982.28 to purchase equipment and make repairs/renovations necessary  to  maintain and operate the Mercedes Benz Superdome, the Smoothie King Center, and Champions Square for the 2019-20 fiscal year. SMG has received competitive  proposals for the equipment  and the repairs/renovations related thereto. The resolution authorizes SMG (on behalf of the  LSED) to sign the Purchase Requisition documents. The funding source is the LSED Capital Reserve Account, and there are sufficient funds to support this Resolution. Approval of the Resolution was</w:t>
      </w:r>
      <w:r>
        <w:rPr>
          <w:spacing w:val="48"/>
        </w:rPr>
        <w:t> </w:t>
      </w:r>
      <w:r>
        <w:rPr/>
        <w:t>recommended.</w:t>
      </w:r>
    </w:p>
    <w:p>
      <w:pPr>
        <w:pStyle w:val="BodyText"/>
        <w:spacing w:before="6"/>
        <w:rPr>
          <w:sz w:val="23"/>
        </w:rPr>
      </w:pPr>
    </w:p>
    <w:p>
      <w:pPr>
        <w:pStyle w:val="BodyText"/>
        <w:spacing w:line="242" w:lineRule="auto"/>
        <w:ind w:left="132" w:right="120" w:firstLine="735"/>
        <w:jc w:val="both"/>
      </w:pPr>
      <w:r>
        <w:rPr/>
        <w:t>Voting in favor were Commissioners France, Baptiste, Landry, Lapeyrolerie, Morrison,  and Watson. Voting against: None. Abstaining: None. Absent: Commissioner Robin. Motion  </w:t>
      </w:r>
      <w:r>
        <w:rPr>
          <w:b/>
        </w:rPr>
        <w:t>19-76</w:t>
      </w:r>
      <w:r>
        <w:rPr>
          <w:b/>
          <w:spacing w:val="35"/>
        </w:rPr>
        <w:t> </w:t>
      </w:r>
      <w:r>
        <w:rPr/>
        <w:t>passed.</w:t>
      </w:r>
    </w:p>
    <w:p>
      <w:pPr>
        <w:pStyle w:val="BodyText"/>
        <w:spacing w:before="3"/>
        <w:rPr>
          <w:sz w:val="23"/>
        </w:rPr>
      </w:pPr>
    </w:p>
    <w:p>
      <w:pPr>
        <w:pStyle w:val="BodyText"/>
        <w:spacing w:line="242" w:lineRule="auto" w:before="1"/>
        <w:ind w:left="137" w:right="110" w:firstLine="739"/>
        <w:jc w:val="both"/>
      </w:pPr>
      <w:r>
        <w:rPr/>
        <w:t>On motion of Commissioner Landry, seconded by Commissioner Baptiste, the LSED authorized   and   approved  the   Guaranteed   Maximum   Price   Amendment   in  the   amount</w:t>
      </w:r>
      <w:r>
        <w:rPr>
          <w:spacing w:val="50"/>
        </w:rPr>
        <w:t> </w:t>
      </w:r>
      <w:r>
        <w:rPr/>
        <w:t>of</w:t>
      </w:r>
    </w:p>
    <w:p>
      <w:pPr>
        <w:pStyle w:val="BodyText"/>
        <w:spacing w:line="274" w:lineRule="exact"/>
        <w:ind w:left="136" w:right="110"/>
        <w:jc w:val="both"/>
      </w:pPr>
      <w:r>
        <w:rPr>
          <w:w w:val="105"/>
        </w:rPr>
        <w:t>$52,781,000.00 to the Contract for Construction Manager at Risk between the LSED and Broadmoor,</w:t>
      </w:r>
      <w:r>
        <w:rPr>
          <w:spacing w:val="-6"/>
          <w:w w:val="105"/>
        </w:rPr>
        <w:t> </w:t>
      </w:r>
      <w:r>
        <w:rPr>
          <w:w w:val="105"/>
        </w:rPr>
        <w:t>LLC,</w:t>
      </w:r>
      <w:r>
        <w:rPr>
          <w:spacing w:val="-16"/>
          <w:w w:val="105"/>
        </w:rPr>
        <w:t> </w:t>
      </w:r>
      <w:r>
        <w:rPr>
          <w:w w:val="105"/>
        </w:rPr>
        <w:t>with</w:t>
      </w:r>
      <w:r>
        <w:rPr>
          <w:spacing w:val="-15"/>
          <w:w w:val="105"/>
        </w:rPr>
        <w:t> </w:t>
      </w:r>
      <w:r>
        <w:rPr>
          <w:w w:val="105"/>
        </w:rPr>
        <w:t>respect</w:t>
      </w:r>
      <w:r>
        <w:rPr>
          <w:spacing w:val="-20"/>
          <w:w w:val="105"/>
        </w:rPr>
        <w:t> </w:t>
      </w:r>
      <w:r>
        <w:rPr>
          <w:w w:val="105"/>
        </w:rPr>
        <w:t>to</w:t>
      </w:r>
      <w:r>
        <w:rPr>
          <w:spacing w:val="-17"/>
          <w:w w:val="105"/>
        </w:rPr>
        <w:t> </w:t>
      </w:r>
      <w:r>
        <w:rPr>
          <w:w w:val="105"/>
        </w:rPr>
        <w:t>Phase</w:t>
      </w:r>
      <w:r>
        <w:rPr>
          <w:spacing w:val="-17"/>
          <w:w w:val="105"/>
        </w:rPr>
        <w:t> </w:t>
      </w:r>
      <w:r>
        <w:rPr>
          <w:w w:val="105"/>
        </w:rPr>
        <w:t>I</w:t>
      </w:r>
      <w:r>
        <w:rPr>
          <w:spacing w:val="-17"/>
          <w:w w:val="105"/>
        </w:rPr>
        <w:t> </w:t>
      </w:r>
      <w:r>
        <w:rPr>
          <w:w w:val="105"/>
        </w:rPr>
        <w:t>of</w:t>
      </w:r>
      <w:r>
        <w:rPr>
          <w:spacing w:val="-23"/>
          <w:w w:val="105"/>
        </w:rPr>
        <w:t> </w:t>
      </w:r>
      <w:r>
        <w:rPr>
          <w:w w:val="105"/>
        </w:rPr>
        <w:t>the</w:t>
      </w:r>
      <w:r>
        <w:rPr>
          <w:spacing w:val="-23"/>
          <w:w w:val="105"/>
        </w:rPr>
        <w:t> </w:t>
      </w:r>
      <w:r>
        <w:rPr>
          <w:w w:val="105"/>
        </w:rPr>
        <w:t>2019</w:t>
      </w:r>
      <w:r>
        <w:rPr>
          <w:spacing w:val="-15"/>
          <w:w w:val="105"/>
        </w:rPr>
        <w:t> </w:t>
      </w:r>
      <w:r>
        <w:rPr>
          <w:w w:val="105"/>
        </w:rPr>
        <w:t>Superdome</w:t>
      </w:r>
      <w:r>
        <w:rPr>
          <w:spacing w:val="-11"/>
          <w:w w:val="105"/>
        </w:rPr>
        <w:t> </w:t>
      </w:r>
      <w:r>
        <w:rPr>
          <w:w w:val="105"/>
        </w:rPr>
        <w:t>Capital</w:t>
      </w:r>
      <w:r>
        <w:rPr>
          <w:spacing w:val="-15"/>
          <w:w w:val="105"/>
        </w:rPr>
        <w:t> </w:t>
      </w:r>
      <w:r>
        <w:rPr>
          <w:w w:val="105"/>
        </w:rPr>
        <w:t>Improvements</w:t>
      </w:r>
      <w:r>
        <w:rPr>
          <w:spacing w:val="-3"/>
          <w:w w:val="105"/>
        </w:rPr>
        <w:t> </w:t>
      </w:r>
      <w:r>
        <w:rPr>
          <w:w w:val="105"/>
        </w:rPr>
        <w:t>Project. Pursuant</w:t>
      </w:r>
      <w:r>
        <w:rPr>
          <w:spacing w:val="-26"/>
          <w:w w:val="105"/>
        </w:rPr>
        <w:t> </w:t>
      </w:r>
      <w:r>
        <w:rPr>
          <w:w w:val="105"/>
        </w:rPr>
        <w:t>to</w:t>
      </w:r>
      <w:r>
        <w:rPr>
          <w:spacing w:val="-28"/>
          <w:w w:val="105"/>
        </w:rPr>
        <w:t> </w:t>
      </w:r>
      <w:r>
        <w:rPr>
          <w:w w:val="105"/>
        </w:rPr>
        <w:t>the</w:t>
      </w:r>
      <w:r>
        <w:rPr>
          <w:spacing w:val="-28"/>
          <w:w w:val="105"/>
        </w:rPr>
        <w:t> </w:t>
      </w:r>
      <w:r>
        <w:rPr>
          <w:w w:val="105"/>
        </w:rPr>
        <w:t>terms</w:t>
      </w:r>
      <w:r>
        <w:rPr>
          <w:spacing w:val="-25"/>
          <w:w w:val="105"/>
        </w:rPr>
        <w:t> </w:t>
      </w:r>
      <w:r>
        <w:rPr>
          <w:w w:val="105"/>
        </w:rPr>
        <w:t>and</w:t>
      </w:r>
      <w:r>
        <w:rPr>
          <w:spacing w:val="-24"/>
          <w:w w:val="105"/>
        </w:rPr>
        <w:t> </w:t>
      </w:r>
      <w:r>
        <w:rPr>
          <w:w w:val="105"/>
        </w:rPr>
        <w:t>conditions</w:t>
      </w:r>
      <w:r>
        <w:rPr>
          <w:spacing w:val="-22"/>
          <w:w w:val="105"/>
        </w:rPr>
        <w:t> </w:t>
      </w:r>
      <w:r>
        <w:rPr>
          <w:w w:val="105"/>
        </w:rPr>
        <w:t>of</w:t>
      </w:r>
      <w:r>
        <w:rPr>
          <w:spacing w:val="-31"/>
          <w:w w:val="105"/>
        </w:rPr>
        <w:t> </w:t>
      </w:r>
      <w:r>
        <w:rPr>
          <w:w w:val="105"/>
        </w:rPr>
        <w:t>the</w:t>
      </w:r>
      <w:r>
        <w:rPr>
          <w:spacing w:val="-25"/>
          <w:w w:val="105"/>
        </w:rPr>
        <w:t> </w:t>
      </w:r>
      <w:r>
        <w:rPr>
          <w:w w:val="105"/>
        </w:rPr>
        <w:t>Guaranteed</w:t>
      </w:r>
      <w:r>
        <w:rPr>
          <w:spacing w:val="-19"/>
          <w:w w:val="105"/>
        </w:rPr>
        <w:t> </w:t>
      </w:r>
      <w:r>
        <w:rPr>
          <w:w w:val="105"/>
        </w:rPr>
        <w:t>Maximum</w:t>
      </w:r>
      <w:r>
        <w:rPr>
          <w:spacing w:val="-16"/>
          <w:w w:val="105"/>
        </w:rPr>
        <w:t> </w:t>
      </w:r>
      <w:r>
        <w:rPr>
          <w:w w:val="105"/>
        </w:rPr>
        <w:t>Price</w:t>
      </w:r>
      <w:r>
        <w:rPr>
          <w:spacing w:val="-28"/>
          <w:w w:val="105"/>
        </w:rPr>
        <w:t> </w:t>
      </w:r>
      <w:r>
        <w:rPr>
          <w:w w:val="105"/>
        </w:rPr>
        <w:t>Amendment,</w:t>
      </w:r>
      <w:r>
        <w:rPr>
          <w:spacing w:val="-19"/>
          <w:w w:val="105"/>
        </w:rPr>
        <w:t> </w:t>
      </w:r>
      <w:r>
        <w:rPr>
          <w:w w:val="105"/>
        </w:rPr>
        <w:t>Broadmoor will perform the work related to Phase I of the Master Plan Project for a not to exceed sum </w:t>
      </w:r>
      <w:r>
        <w:rPr>
          <w:spacing w:val="41"/>
          <w:w w:val="105"/>
        </w:rPr>
        <w:t> </w:t>
      </w:r>
      <w:r>
        <w:rPr>
          <w:w w:val="105"/>
        </w:rPr>
        <w:t>of</w:t>
      </w:r>
    </w:p>
    <w:p>
      <w:pPr>
        <w:pStyle w:val="BodyText"/>
        <w:spacing w:line="274" w:lineRule="exact"/>
        <w:ind w:left="141" w:right="107" w:hanging="5"/>
        <w:jc w:val="both"/>
      </w:pPr>
      <w:r>
        <w:rPr>
          <w:w w:val="105"/>
        </w:rPr>
        <w:t>$52,781,000.00, subject to additions and deductions as may or may not be made by Owner in accordance with the Contract Documents.  The Resolution had the Staff Analysis Support</w:t>
      </w:r>
      <w:r>
        <w:rPr>
          <w:spacing w:val="56"/>
          <w:w w:val="105"/>
        </w:rPr>
        <w:t> </w:t>
      </w:r>
      <w:r>
        <w:rPr>
          <w:w w:val="105"/>
        </w:rPr>
        <w:t>and</w:t>
      </w:r>
    </w:p>
    <w:p>
      <w:pPr>
        <w:spacing w:after="0" w:line="274" w:lineRule="exact"/>
        <w:jc w:val="both"/>
        <w:sectPr>
          <w:pgSz w:w="12240" w:h="15840"/>
          <w:pgMar w:header="647" w:footer="823" w:top="1340" w:bottom="1020" w:left="1160" w:right="1280"/>
        </w:sectPr>
      </w:pPr>
    </w:p>
    <w:p>
      <w:pPr>
        <w:pStyle w:val="BodyText"/>
        <w:rPr>
          <w:sz w:val="20"/>
        </w:rPr>
      </w:pPr>
    </w:p>
    <w:p>
      <w:pPr>
        <w:pStyle w:val="BodyText"/>
        <w:spacing w:before="222"/>
        <w:ind w:left="107" w:right="136"/>
        <w:jc w:val="both"/>
      </w:pPr>
      <w:r>
        <w:rPr/>
        <w:t>Recommendation of The Tobler Company, Trahan Architects (Project Architect), SMG, and the LSED Project Representative. The source of funds for the Guaranteed Maximum Price Amendment is the Phase I Project Budget, and there sufficient funds existed to support the Resolution.   Approval of the Resolution was</w:t>
      </w:r>
      <w:r>
        <w:rPr>
          <w:spacing w:val="42"/>
        </w:rPr>
        <w:t> </w:t>
      </w:r>
      <w:r>
        <w:rPr/>
        <w:t>recommended.</w:t>
      </w:r>
    </w:p>
    <w:p>
      <w:pPr>
        <w:pStyle w:val="BodyText"/>
        <w:spacing w:before="6"/>
        <w:rPr>
          <w:sz w:val="23"/>
        </w:rPr>
      </w:pPr>
    </w:p>
    <w:p>
      <w:pPr>
        <w:pStyle w:val="BodyText"/>
        <w:spacing w:line="244" w:lineRule="auto"/>
        <w:ind w:left="111" w:right="144" w:firstLine="742"/>
        <w:jc w:val="both"/>
      </w:pPr>
      <w:r>
        <w:rPr/>
        <w:t>Voting in favor were Commissioners France, Baptiste, Landry, Lapeyrolerie,  Morrison, and Watson. Voting against: None. Abstaining: None. Absent: Commissioner Robin.  Motion  </w:t>
      </w:r>
      <w:r>
        <w:rPr>
          <w:b/>
          <w:sz w:val="23"/>
        </w:rPr>
        <w:t>19-</w:t>
      </w:r>
      <w:r>
        <w:rPr/>
        <w:t>77</w:t>
      </w:r>
      <w:r>
        <w:rPr>
          <w:spacing w:val="43"/>
        </w:rPr>
        <w:t> </w:t>
      </w:r>
      <w:r>
        <w:rPr/>
        <w:t>passed.</w:t>
      </w:r>
    </w:p>
    <w:p>
      <w:pPr>
        <w:pStyle w:val="BodyText"/>
        <w:spacing w:before="1"/>
        <w:rPr>
          <w:sz w:val="23"/>
        </w:rPr>
      </w:pPr>
    </w:p>
    <w:p>
      <w:pPr>
        <w:pStyle w:val="BodyText"/>
        <w:ind w:left="109" w:right="127" w:firstLine="747"/>
        <w:jc w:val="both"/>
      </w:pPr>
      <w:r>
        <w:rPr/>
        <w:t>Chairman France takes a moment to thank Commissioner Landry, the leadership of the Governor and Bond Commission, and SMG's team for their work in moving the Project forward, and recognizes the presence of representatives of the Project's contractor, Broadmoor, present at today's meeting.  Commissioner  Landry  briefly describes  her role as the LSED's  representative  in moving the Project along, from reporting to her colleagues, the LSED, and the State on the  plan's progression to reach the final GMP figure to stay in line with the  </w:t>
      </w:r>
      <w:r>
        <w:rPr>
          <w:spacing w:val="54"/>
        </w:rPr>
        <w:t> </w:t>
      </w:r>
      <w:r>
        <w:rPr/>
        <w:t>budget.</w:t>
      </w:r>
    </w:p>
    <w:p>
      <w:pPr>
        <w:pStyle w:val="BodyText"/>
        <w:spacing w:before="11"/>
        <w:rPr>
          <w:sz w:val="23"/>
        </w:rPr>
      </w:pPr>
    </w:p>
    <w:p>
      <w:pPr>
        <w:pStyle w:val="BodyText"/>
        <w:ind w:left="114" w:right="136" w:firstLine="747"/>
        <w:jc w:val="both"/>
      </w:pPr>
      <w:r>
        <w:rPr/>
        <w:t>On motion of Commissioner Morrison, seconded by Commissioner Landry, the LSED authorized and approved the negotiation and execution of Letter of Understanding and Non­ Exclusive Facility Use Agreement by and between the LSED and NOLA  Gold  Rugby  Corporation with respect to the limited use of the Stadium on Airline Drive for a series of NOLA Gold rugby games on such terms and conditions as are acceptable to Chairman Kyle M. France  and LSED legal counsel.  Pursuant to the Resolution Chairman France is specifically  authorized  to execute the Letter of Understanding on behalf of the LSED. Once in final form and following approval of LSED counsel, Chairman France is further authorized to execute the Non-Exclusive Facility Use Agreement on behalf of the LSED, with same to be ratified at a subsequent LSED meeting.   Approval of the Resolution was</w:t>
      </w:r>
      <w:r>
        <w:rPr>
          <w:spacing w:val="42"/>
        </w:rPr>
        <w:t> </w:t>
      </w:r>
      <w:r>
        <w:rPr/>
        <w:t>recommended.</w:t>
      </w:r>
    </w:p>
    <w:p>
      <w:pPr>
        <w:pStyle w:val="BodyText"/>
        <w:spacing w:before="11"/>
        <w:rPr>
          <w:sz w:val="23"/>
        </w:rPr>
      </w:pPr>
    </w:p>
    <w:p>
      <w:pPr>
        <w:pStyle w:val="BodyText"/>
        <w:spacing w:line="242" w:lineRule="auto"/>
        <w:ind w:left="117" w:right="129" w:firstLine="745"/>
        <w:jc w:val="both"/>
      </w:pPr>
      <w:r>
        <w:rPr/>
        <w:t>Voting in favor were Commissioners France, Baptiste, Landry, Lapeyrolerie, Morrison,  and Watson. Voting against: None. Abstaining: None. Absent: Commissioner Robin.  Motion  </w:t>
      </w:r>
      <w:r>
        <w:rPr>
          <w:b/>
          <w:sz w:val="23"/>
        </w:rPr>
        <w:t>19-78</w:t>
      </w:r>
      <w:r>
        <w:rPr>
          <w:b/>
          <w:spacing w:val="51"/>
          <w:sz w:val="23"/>
        </w:rPr>
        <w:t> </w:t>
      </w:r>
      <w:r>
        <w:rPr/>
        <w:t>passed.</w:t>
      </w:r>
    </w:p>
    <w:p>
      <w:pPr>
        <w:pStyle w:val="BodyText"/>
        <w:spacing w:before="8"/>
        <w:rPr>
          <w:sz w:val="23"/>
        </w:rPr>
      </w:pPr>
    </w:p>
    <w:p>
      <w:pPr>
        <w:pStyle w:val="BodyText"/>
        <w:ind w:left="123" w:right="122" w:firstLine="747"/>
        <w:jc w:val="both"/>
      </w:pPr>
      <w:r>
        <w:rPr/>
        <w:t>Commissioner . Landry thanks the Baby Cakes organization for affording the LSED  several dates for hosting LSED events at the facility,  thus allowing the rugby  team  to play at  least eight games there. Chairman France acknowledges the presence of NOLA Gold representatives at this </w:t>
      </w:r>
      <w:r>
        <w:rPr>
          <w:spacing w:val="8"/>
        </w:rPr>
        <w:t> </w:t>
      </w:r>
      <w:r>
        <w:rPr/>
        <w:t>meeting.</w:t>
      </w:r>
    </w:p>
    <w:p>
      <w:pPr>
        <w:pStyle w:val="BodyText"/>
        <w:spacing w:before="11"/>
        <w:rPr>
          <w:sz w:val="23"/>
        </w:rPr>
      </w:pPr>
    </w:p>
    <w:p>
      <w:pPr>
        <w:pStyle w:val="BodyText"/>
        <w:ind w:left="126" w:right="112" w:firstLine="750"/>
        <w:jc w:val="both"/>
      </w:pPr>
      <w:r>
        <w:rPr/>
        <w:t>On motion of Commissioner Lapeyrolerie, seconded by Commissioner Morrison,  the LSED authorized and approved an appropriation from the TPC Louisiana Golf Facility Capital Reserve Fund for Repair and Replacement in the amount of $75,910.00 to make certain repairs at the TPC of Louisiana golf Course, to include repairs to the TPC golf cart path, restriping of TPC parking lots, and the replacement of the digital TPC story board that displays course records and Zurich Classic information. The source of funds for the Resolution is the TPC Louisiana Golf Facility Capital Reserve Fund for Repair and Replacement, and there sufficient funds existed to support the Resolution.   Approval of the Resolution was</w:t>
      </w:r>
      <w:r>
        <w:rPr>
          <w:spacing w:val="51"/>
        </w:rPr>
        <w:t> </w:t>
      </w:r>
      <w:r>
        <w:rPr/>
        <w:t>recommended.</w:t>
      </w:r>
    </w:p>
    <w:p>
      <w:pPr>
        <w:spacing w:after="0"/>
        <w:jc w:val="both"/>
        <w:sectPr>
          <w:pgSz w:w="12240" w:h="15840"/>
          <w:pgMar w:header="647" w:footer="823" w:top="1340" w:bottom="1020" w:left="1160" w:right="1280"/>
        </w:sectPr>
      </w:pPr>
    </w:p>
    <w:p>
      <w:pPr>
        <w:pStyle w:val="BodyText"/>
        <w:rPr>
          <w:sz w:val="20"/>
        </w:rPr>
      </w:pPr>
      <w:r>
        <w:rPr/>
        <w:pict>
          <v:line style="position:absolute;mso-position-horizontal-relative:page;mso-position-vertical-relative:page;z-index:0" from="7.2pt,.12pt" to="51.36pt,.12pt" stroked="true" strokeweight=".24pt" strokecolor="#000000">
            <v:stroke dashstyle="solid"/>
            <w10:wrap type="none"/>
          </v:line>
        </w:pict>
      </w:r>
    </w:p>
    <w:p>
      <w:pPr>
        <w:pStyle w:val="BodyText"/>
        <w:spacing w:line="242" w:lineRule="auto" w:before="222"/>
        <w:ind w:left="1228" w:right="130" w:firstLine="730"/>
        <w:jc w:val="both"/>
      </w:pPr>
      <w:r>
        <w:rPr/>
        <w:t>Voting in favor were Commissioners France, Baptiste, Landry, Lapeyrolerie, Morrison,  and Watson. Voting against: None. Abstaining: None. Absent: Commissioner Robin.  Motion  </w:t>
      </w:r>
      <w:r>
        <w:rPr>
          <w:b/>
          <w:sz w:val="22"/>
        </w:rPr>
        <w:t>19-79 </w:t>
      </w:r>
      <w:r>
        <w:rPr>
          <w:b/>
          <w:spacing w:val="26"/>
          <w:sz w:val="22"/>
        </w:rPr>
        <w:t> </w:t>
      </w:r>
      <w:r>
        <w:rPr/>
        <w:t>passed.</w:t>
      </w:r>
    </w:p>
    <w:p>
      <w:pPr>
        <w:pStyle w:val="BodyText"/>
        <w:spacing w:before="3"/>
        <w:rPr>
          <w:sz w:val="23"/>
        </w:rPr>
      </w:pPr>
    </w:p>
    <w:p>
      <w:pPr>
        <w:pStyle w:val="BodyText"/>
        <w:ind w:left="1232" w:right="121" w:firstLine="735"/>
        <w:jc w:val="both"/>
      </w:pPr>
      <w:r>
        <w:rPr/>
        <w:t>On motion of Commissioner Morrison, seconded by Commissioner Landry, the LSED authorized and approved an appropriation from the TPC Louisiana Golf Facility Capital Reserve Fund for Repair and Replacement in the amount of $24,821.93 to purchase replacement water fountains with water and ice dispensers for the TPC of Louisiana Golf Course.  The source  of funds for the Resolution is the TPC Louisiana Golf Facility Capital Reserve Fund for Repair and Replacement, and there sufficient funds existed to support the Resolution. Approval of the Resolution was recommended.</w:t>
      </w:r>
    </w:p>
    <w:p>
      <w:pPr>
        <w:pStyle w:val="BodyText"/>
        <w:spacing w:before="6"/>
        <w:rPr>
          <w:sz w:val="23"/>
        </w:rPr>
      </w:pPr>
    </w:p>
    <w:p>
      <w:pPr>
        <w:pStyle w:val="BodyText"/>
        <w:spacing w:line="242" w:lineRule="auto"/>
        <w:ind w:left="1236" w:right="120" w:firstLine="732"/>
        <w:jc w:val="both"/>
      </w:pPr>
      <w:r>
        <w:rPr/>
        <w:t>Voting in favor were Commissioners France, Baptiste, Landry, Lapeyrolerie, Morrison,  and Watson. Voting against: None. Abstaining: None. Absent: Commissioner Robin.  Motion  </w:t>
      </w:r>
      <w:r>
        <w:rPr>
          <w:b/>
          <w:sz w:val="22"/>
        </w:rPr>
        <w:t>19-80 </w:t>
      </w:r>
      <w:r>
        <w:rPr>
          <w:b/>
          <w:spacing w:val="26"/>
          <w:sz w:val="22"/>
        </w:rPr>
        <w:t> </w:t>
      </w:r>
      <w:r>
        <w:rPr/>
        <w:t>passed.</w:t>
      </w:r>
    </w:p>
    <w:p>
      <w:pPr>
        <w:pStyle w:val="BodyText"/>
        <w:spacing w:before="8"/>
        <w:rPr>
          <w:sz w:val="23"/>
        </w:rPr>
      </w:pPr>
    </w:p>
    <w:p>
      <w:pPr>
        <w:pStyle w:val="BodyText"/>
        <w:ind w:left="1975"/>
      </w:pPr>
      <w:r>
        <w:rPr/>
        <w:t>[This concludes the Legal  Report.]</w:t>
      </w:r>
    </w:p>
    <w:p>
      <w:pPr>
        <w:pStyle w:val="BodyText"/>
        <w:spacing w:before="4"/>
      </w:pPr>
    </w:p>
    <w:p>
      <w:pPr>
        <w:pStyle w:val="Heading1"/>
        <w:numPr>
          <w:ilvl w:val="0"/>
          <w:numId w:val="1"/>
        </w:numPr>
        <w:tabs>
          <w:tab w:pos="1970" w:val="left" w:leader="none"/>
          <w:tab w:pos="1971" w:val="left" w:leader="none"/>
        </w:tabs>
        <w:spacing w:line="240" w:lineRule="auto" w:before="0" w:after="0"/>
        <w:ind w:left="1971" w:right="0" w:hanging="732"/>
        <w:jc w:val="left"/>
        <w:rPr>
          <w:u w:val="none"/>
        </w:rPr>
      </w:pPr>
      <w:r>
        <w:rPr>
          <w:u w:val="thick"/>
        </w:rPr>
        <w:t>BOARD</w:t>
      </w:r>
      <w:r>
        <w:rPr>
          <w:spacing w:val="33"/>
          <w:u w:val="thick"/>
        </w:rPr>
        <w:t> </w:t>
      </w:r>
      <w:r>
        <w:rPr>
          <w:u w:val="thick"/>
        </w:rPr>
        <w:t>REPORTS</w:t>
      </w:r>
    </w:p>
    <w:p>
      <w:pPr>
        <w:pStyle w:val="BodyText"/>
        <w:spacing w:before="6"/>
        <w:rPr>
          <w:b/>
          <w:sz w:val="23"/>
        </w:rPr>
      </w:pPr>
    </w:p>
    <w:p>
      <w:pPr>
        <w:pStyle w:val="BodyText"/>
        <w:ind w:left="1969"/>
      </w:pPr>
      <w:r>
        <w:rPr>
          <w:w w:val="105"/>
        </w:rPr>
        <w:t>None.</w:t>
      </w:r>
    </w:p>
    <w:p>
      <w:pPr>
        <w:pStyle w:val="BodyText"/>
        <w:spacing w:before="7"/>
        <w:rPr>
          <w:sz w:val="20"/>
        </w:rPr>
      </w:pPr>
    </w:p>
    <w:p>
      <w:pPr>
        <w:pStyle w:val="Heading1"/>
        <w:numPr>
          <w:ilvl w:val="0"/>
          <w:numId w:val="1"/>
        </w:numPr>
        <w:tabs>
          <w:tab w:pos="1976" w:val="left" w:leader="none"/>
          <w:tab w:pos="1977" w:val="left" w:leader="none"/>
        </w:tabs>
        <w:spacing w:line="240" w:lineRule="auto" w:before="0" w:after="0"/>
        <w:ind w:left="1976" w:right="0" w:hanging="737"/>
        <w:jc w:val="left"/>
        <w:rPr>
          <w:u w:val="none"/>
        </w:rPr>
      </w:pPr>
      <w:r>
        <w:rPr>
          <w:u w:val="thick"/>
        </w:rPr>
        <w:t>OTHER</w:t>
      </w:r>
      <w:r>
        <w:rPr>
          <w:spacing w:val="32"/>
          <w:u w:val="thick"/>
        </w:rPr>
        <w:t> </w:t>
      </w:r>
      <w:r>
        <w:rPr>
          <w:u w:val="thick"/>
        </w:rPr>
        <w:t>BUSINESS</w:t>
      </w:r>
    </w:p>
    <w:p>
      <w:pPr>
        <w:pStyle w:val="BodyText"/>
        <w:spacing w:before="6"/>
        <w:rPr>
          <w:b/>
          <w:sz w:val="23"/>
        </w:rPr>
      </w:pPr>
    </w:p>
    <w:p>
      <w:pPr>
        <w:pStyle w:val="BodyText"/>
        <w:ind w:left="1979"/>
      </w:pPr>
      <w:r>
        <w:rPr>
          <w:w w:val="105"/>
        </w:rPr>
        <w:t>None.</w:t>
      </w:r>
    </w:p>
    <w:p>
      <w:pPr>
        <w:pStyle w:val="BodyText"/>
        <w:spacing w:before="4"/>
      </w:pPr>
    </w:p>
    <w:p>
      <w:pPr>
        <w:pStyle w:val="Heading1"/>
        <w:numPr>
          <w:ilvl w:val="0"/>
          <w:numId w:val="1"/>
        </w:numPr>
        <w:tabs>
          <w:tab w:pos="1983" w:val="left" w:leader="none"/>
          <w:tab w:pos="1984" w:val="left" w:leader="none"/>
        </w:tabs>
        <w:spacing w:line="240" w:lineRule="auto" w:before="0" w:after="0"/>
        <w:ind w:left="1983" w:right="0" w:hanging="742"/>
        <w:jc w:val="left"/>
        <w:rPr>
          <w:u w:val="none"/>
        </w:rPr>
      </w:pPr>
      <w:r>
        <w:rPr>
          <w:u w:val="thick"/>
        </w:rPr>
        <w:t>ADJOURNMENT</w:t>
      </w:r>
    </w:p>
    <w:p>
      <w:pPr>
        <w:pStyle w:val="BodyText"/>
        <w:spacing w:before="6"/>
        <w:rPr>
          <w:b/>
          <w:sz w:val="23"/>
        </w:rPr>
      </w:pPr>
    </w:p>
    <w:p>
      <w:pPr>
        <w:pStyle w:val="BodyText"/>
        <w:spacing w:line="242" w:lineRule="auto"/>
        <w:ind w:left="1244" w:right="117" w:firstLine="737"/>
        <w:jc w:val="both"/>
      </w:pPr>
      <w:r>
        <w:rPr/>
        <w:t>On motion by Commissioner Morrison, seconded by Commissioner Baptiste, the LSED November 14, 2019 monthly meeting adjourned at 1:36 </w:t>
      </w:r>
      <w:r>
        <w:rPr>
          <w:spacing w:val="52"/>
        </w:rPr>
        <w:t> </w:t>
      </w:r>
      <w:r>
        <w:rPr/>
        <w:t>p.m.</w:t>
      </w:r>
    </w:p>
    <w:sectPr>
      <w:pgSz w:w="12240" w:h="15840"/>
      <w:pgMar w:header="647" w:footer="823" w:top="1320" w:bottom="1020" w:left="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64.120003pt;margin-top:739.848877pt;width:46.2pt;height:13.1pt;mso-position-horizontal-relative:page;mso-position-vertical-relative:page;z-index:-4648" type="#_x0000_t202" filled="false" stroked="false">
          <v:textbox inset="0,0,0,0">
            <w:txbxContent>
              <w:p>
                <w:pPr>
                  <w:spacing w:before="11"/>
                  <w:ind w:left="20" w:right="0" w:firstLine="0"/>
                  <w:jc w:val="left"/>
                  <w:rPr>
                    <w:sz w:val="20"/>
                  </w:rPr>
                </w:pPr>
                <w:r>
                  <w:rPr>
                    <w:sz w:val="20"/>
                  </w:rPr>
                  <w:t>3600741-1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639999pt;margin-top:31.368868pt;width:83.55pt;height:36.85pt;mso-position-horizontal-relative:page;mso-position-vertical-relative:page;z-index:-4624" type="#_x0000_t202" filled="false" stroked="false">
          <v:textbox inset="0,0,0,0">
            <w:txbxContent>
              <w:p>
                <w:pPr>
                  <w:spacing w:before="11"/>
                  <w:ind w:left="21" w:right="-15" w:hanging="2"/>
                  <w:jc w:val="left"/>
                  <w:rPr>
                    <w:sz w:val="20"/>
                  </w:rPr>
                </w:pPr>
                <w:r>
                  <w:rPr>
                    <w:sz w:val="20"/>
                  </w:rPr>
                  <w:t>LSED Minutes November  14, 2019</w:t>
                </w:r>
              </w:p>
              <w:p>
                <w:pPr>
                  <w:spacing w:before="0"/>
                  <w:ind w:left="20" w:right="0" w:firstLine="0"/>
                  <w:jc w:val="left"/>
                  <w:rPr>
                    <w:sz w:val="20"/>
                  </w:rPr>
                </w:pPr>
                <w:r>
                  <w:rPr>
                    <w:w w:val="105"/>
                    <w:sz w:val="20"/>
                  </w:rPr>
                  <w:t>Page </w:t>
                </w:r>
                <w:r>
                  <w:rPr/>
                  <w:fldChar w:fldCharType="begin"/>
                </w:r>
                <w:r>
                  <w:rPr>
                    <w:w w:val="105"/>
                    <w:sz w:val="20"/>
                  </w:rPr>
                  <w:instrText> PAGE </w:instrText>
                </w:r>
                <w:r>
                  <w:rPr/>
                  <w:fldChar w:fldCharType="separate"/>
                </w:r>
                <w:r>
                  <w:rPr/>
                  <w:t>2</w:t>
                </w:r>
                <w:r>
                  <w:rPr/>
                  <w:fldChar w:fldCharType="end"/>
                </w:r>
                <w:r>
                  <w:rPr>
                    <w:w w:val="105"/>
                    <w:sz w:val="20"/>
                  </w:rPr>
                  <w:t> of5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57" w:hanging="753"/>
        <w:jc w:val="right"/>
      </w:pPr>
      <w:rPr>
        <w:rFonts w:hint="default" w:ascii="Times New Roman" w:hAnsi="Times New Roman" w:eastAsia="Times New Roman" w:cs="Times New Roman"/>
        <w:b/>
        <w:bCs/>
        <w:w w:val="108"/>
        <w:sz w:val="24"/>
        <w:szCs w:val="24"/>
      </w:rPr>
    </w:lvl>
    <w:lvl w:ilvl="1">
      <w:start w:val="0"/>
      <w:numFmt w:val="bullet"/>
      <w:lvlText w:val="•"/>
      <w:lvlJc w:val="left"/>
      <w:pPr>
        <w:ind w:left="1750" w:hanging="753"/>
      </w:pPr>
      <w:rPr>
        <w:rFonts w:hint="default"/>
      </w:rPr>
    </w:lvl>
    <w:lvl w:ilvl="2">
      <w:start w:val="0"/>
      <w:numFmt w:val="bullet"/>
      <w:lvlText w:val="•"/>
      <w:lvlJc w:val="left"/>
      <w:pPr>
        <w:ind w:left="2640" w:hanging="753"/>
      </w:pPr>
      <w:rPr>
        <w:rFonts w:hint="default"/>
      </w:rPr>
    </w:lvl>
    <w:lvl w:ilvl="3">
      <w:start w:val="0"/>
      <w:numFmt w:val="bullet"/>
      <w:lvlText w:val="•"/>
      <w:lvlJc w:val="left"/>
      <w:pPr>
        <w:ind w:left="3530" w:hanging="753"/>
      </w:pPr>
      <w:rPr>
        <w:rFonts w:hint="default"/>
      </w:rPr>
    </w:lvl>
    <w:lvl w:ilvl="4">
      <w:start w:val="0"/>
      <w:numFmt w:val="bullet"/>
      <w:lvlText w:val="•"/>
      <w:lvlJc w:val="left"/>
      <w:pPr>
        <w:ind w:left="4420" w:hanging="753"/>
      </w:pPr>
      <w:rPr>
        <w:rFonts w:hint="default"/>
      </w:rPr>
    </w:lvl>
    <w:lvl w:ilvl="5">
      <w:start w:val="0"/>
      <w:numFmt w:val="bullet"/>
      <w:lvlText w:val="•"/>
      <w:lvlJc w:val="left"/>
      <w:pPr>
        <w:ind w:left="5310" w:hanging="753"/>
      </w:pPr>
      <w:rPr>
        <w:rFonts w:hint="default"/>
      </w:rPr>
    </w:lvl>
    <w:lvl w:ilvl="6">
      <w:start w:val="0"/>
      <w:numFmt w:val="bullet"/>
      <w:lvlText w:val="•"/>
      <w:lvlJc w:val="left"/>
      <w:pPr>
        <w:ind w:left="6200" w:hanging="753"/>
      </w:pPr>
      <w:rPr>
        <w:rFonts w:hint="default"/>
      </w:rPr>
    </w:lvl>
    <w:lvl w:ilvl="7">
      <w:start w:val="0"/>
      <w:numFmt w:val="bullet"/>
      <w:lvlText w:val="•"/>
      <w:lvlJc w:val="left"/>
      <w:pPr>
        <w:ind w:left="7090" w:hanging="753"/>
      </w:pPr>
      <w:rPr>
        <w:rFonts w:hint="default"/>
      </w:rPr>
    </w:lvl>
    <w:lvl w:ilvl="8">
      <w:start w:val="0"/>
      <w:numFmt w:val="bullet"/>
      <w:lvlText w:val="•"/>
      <w:lvlJc w:val="left"/>
      <w:pPr>
        <w:ind w:left="7980" w:hanging="75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6" w:hanging="737"/>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6" w:hanging="737"/>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2020-01-15T16:36:23Z</dcterms:created>
  <dcterms:modified xsi:type="dcterms:W3CDTF">2020-01-15T16:36:23Z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Aspose Ltd.</vt:lpwstr>
  </property>
  <property fmtid="{D5CDD505-2E9C-101B-9397-08002B2CF9AE}" pid="4" name="LastSaved">
    <vt:filetime>2020-01-15T00:00:00Z</vt:filetime>
  </property>
</Properties>
</file>